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814943" w:rsidP="007579B5">
      <w:pPr>
        <w:jc w:val="center"/>
      </w:pPr>
      <w:r w:rsidRPr="000B5F0F">
        <w:rPr>
          <w:noProof/>
          <w:lang w:eastAsia="en-GB"/>
        </w:rPr>
        <w:drawing>
          <wp:inline distT="0" distB="0" distL="0" distR="0" wp14:anchorId="7CF51C9C" wp14:editId="62577FAF">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9C1855" w:rsidRDefault="007579B5" w:rsidP="007579B5">
      <w:pPr>
        <w:jc w:val="center"/>
        <w:rPr>
          <w:b/>
          <w:sz w:val="32"/>
          <w:szCs w:val="32"/>
        </w:rPr>
      </w:pPr>
      <w:r w:rsidRPr="009C1855">
        <w:rPr>
          <w:b/>
          <w:sz w:val="32"/>
          <w:szCs w:val="32"/>
        </w:rPr>
        <w:t xml:space="preserve">JOB DESCRIPTION </w:t>
      </w:r>
      <w:r w:rsidR="00E022D4">
        <w:rPr>
          <w:b/>
          <w:sz w:val="32"/>
          <w:szCs w:val="32"/>
        </w:rPr>
        <w:t>–</w:t>
      </w:r>
      <w:r w:rsidRPr="009C1855">
        <w:rPr>
          <w:b/>
          <w:sz w:val="32"/>
          <w:szCs w:val="32"/>
        </w:rPr>
        <w:t xml:space="preserve"> </w:t>
      </w:r>
      <w:r w:rsidR="00E022D4">
        <w:rPr>
          <w:b/>
          <w:sz w:val="32"/>
          <w:szCs w:val="32"/>
        </w:rPr>
        <w:t>SUMMER ADMISSIONS ADMINISTRATOR</w:t>
      </w:r>
    </w:p>
    <w:p w:rsidR="007579B5" w:rsidRPr="009C1855" w:rsidRDefault="00FC31CA" w:rsidP="00E022D4">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p>
    <w:tbl>
      <w:tblPr>
        <w:tblStyle w:val="TableGrid"/>
        <w:tblW w:w="9209" w:type="dxa"/>
        <w:tblLook w:val="04A0" w:firstRow="1" w:lastRow="0" w:firstColumn="1" w:lastColumn="0" w:noHBand="0" w:noVBand="1"/>
      </w:tblPr>
      <w:tblGrid>
        <w:gridCol w:w="1602"/>
        <w:gridCol w:w="7607"/>
      </w:tblGrid>
      <w:tr w:rsidR="00BD6BC3" w:rsidTr="00814943">
        <w:tc>
          <w:tcPr>
            <w:tcW w:w="9209" w:type="dxa"/>
            <w:gridSpan w:val="2"/>
            <w:shd w:val="clear" w:color="auto" w:fill="A7E4FF"/>
          </w:tcPr>
          <w:p w:rsidR="00BD6BC3" w:rsidRPr="00BD6BC3" w:rsidRDefault="00BD6BC3" w:rsidP="00BD6BC3">
            <w:pPr>
              <w:jc w:val="center"/>
              <w:rPr>
                <w:b/>
              </w:rPr>
            </w:pPr>
            <w:r w:rsidRPr="00BD6BC3">
              <w:rPr>
                <w:b/>
              </w:rPr>
              <w:t>JOB SPECIFICATION</w:t>
            </w:r>
          </w:p>
        </w:tc>
      </w:tr>
      <w:tr w:rsidR="007579B5" w:rsidTr="00814943">
        <w:tc>
          <w:tcPr>
            <w:tcW w:w="1602" w:type="dxa"/>
            <w:shd w:val="clear" w:color="auto" w:fill="A7E4FF"/>
          </w:tcPr>
          <w:p w:rsidR="007579B5" w:rsidRDefault="007579B5" w:rsidP="007579B5">
            <w:r>
              <w:t>Title of Post</w:t>
            </w:r>
          </w:p>
        </w:tc>
        <w:tc>
          <w:tcPr>
            <w:tcW w:w="7607" w:type="dxa"/>
          </w:tcPr>
          <w:p w:rsidR="00D93DF1" w:rsidRPr="00E022D4" w:rsidRDefault="00E022D4" w:rsidP="00E022D4">
            <w:pPr>
              <w:rPr>
                <w:rFonts w:ascii="Calibri" w:hAnsi="Calibri"/>
              </w:rPr>
            </w:pPr>
            <w:r w:rsidRPr="00E022D4">
              <w:rPr>
                <w:rFonts w:ascii="Calibri" w:hAnsi="Calibri" w:cs="Arial"/>
                <w:lang w:eastAsia="en-GB"/>
              </w:rPr>
              <w:t>Summer Admissions Administrator</w:t>
            </w:r>
          </w:p>
        </w:tc>
      </w:tr>
      <w:tr w:rsidR="007579B5" w:rsidTr="00814943">
        <w:tc>
          <w:tcPr>
            <w:tcW w:w="1602" w:type="dxa"/>
            <w:shd w:val="clear" w:color="auto" w:fill="A7E4FF"/>
          </w:tcPr>
          <w:p w:rsidR="007579B5" w:rsidRDefault="00E43736" w:rsidP="00E43736">
            <w:r>
              <w:t xml:space="preserve">Purpose of Role </w:t>
            </w:r>
          </w:p>
        </w:tc>
        <w:tc>
          <w:tcPr>
            <w:tcW w:w="7607" w:type="dxa"/>
          </w:tcPr>
          <w:p w:rsidR="000C5D28" w:rsidRPr="007856EE" w:rsidRDefault="000C5D28" w:rsidP="000C5D28">
            <w:r w:rsidRPr="007856EE">
              <w:t xml:space="preserve">The Summer Admissions Administrator is the first point of contact for teenagers and juniors enquiring about summer courses.  As a representative of the college, it is essential that you make the right first impression on the individual parents and agents who get in touch with you. </w:t>
            </w:r>
          </w:p>
          <w:p w:rsidR="000C5D28" w:rsidRPr="008538A0" w:rsidRDefault="000C5D28" w:rsidP="000C5D28">
            <w:pPr>
              <w:rPr>
                <w:rFonts w:ascii="Candara" w:hAnsi="Candara"/>
              </w:rPr>
            </w:pPr>
          </w:p>
          <w:p w:rsidR="007579B5" w:rsidRPr="007856EE" w:rsidRDefault="000C5D28" w:rsidP="00E022D4">
            <w:r w:rsidRPr="007856EE">
              <w:t xml:space="preserve">Success will depend on building a positive relationship with the client (by phone or email), delivering a high level of customer care and entering data accurately into the booking system. </w:t>
            </w:r>
          </w:p>
        </w:tc>
      </w:tr>
      <w:tr w:rsidR="007579B5" w:rsidTr="00814943">
        <w:tc>
          <w:tcPr>
            <w:tcW w:w="1602" w:type="dxa"/>
            <w:shd w:val="clear" w:color="auto" w:fill="A7E4FF"/>
          </w:tcPr>
          <w:p w:rsidR="007579B5" w:rsidRDefault="00E43736" w:rsidP="007579B5">
            <w:r>
              <w:t>Department</w:t>
            </w:r>
          </w:p>
        </w:tc>
        <w:tc>
          <w:tcPr>
            <w:tcW w:w="7607" w:type="dxa"/>
          </w:tcPr>
          <w:p w:rsidR="000C5D28" w:rsidRPr="007856EE" w:rsidRDefault="000C5D28" w:rsidP="000C5D28">
            <w:pPr>
              <w:tabs>
                <w:tab w:val="left" w:pos="-567"/>
                <w:tab w:val="left" w:pos="-284"/>
                <w:tab w:val="left" w:pos="0"/>
                <w:tab w:val="left" w:pos="397"/>
              </w:tabs>
              <w:rPr>
                <w:rFonts w:cs="Calibri"/>
              </w:rPr>
            </w:pPr>
            <w:r w:rsidRPr="007856EE">
              <w:rPr>
                <w:rFonts w:cs="Calibri"/>
              </w:rPr>
              <w:t xml:space="preserve">St. Clare’s, Oxford is an independent, non-profit-making educational charity.  Over the past sixty years it has become firmly established as an Oxford institution with the aim </w:t>
            </w:r>
            <w:r w:rsidRPr="00581674">
              <w:rPr>
                <w:rFonts w:cs="Calibri"/>
              </w:rPr>
              <w:t>of ‘advancing international education and understanding’.</w:t>
            </w:r>
            <w:r w:rsidRPr="007856EE">
              <w:rPr>
                <w:rFonts w:cs="Calibri"/>
              </w:rPr>
              <w:t xml:space="preserve">  </w:t>
            </w:r>
          </w:p>
          <w:p w:rsidR="000C5D28" w:rsidRDefault="000C5D28" w:rsidP="000C5D28">
            <w:pPr>
              <w:rPr>
                <w:rFonts w:ascii="Candara" w:hAnsi="Candara"/>
              </w:rPr>
            </w:pPr>
          </w:p>
          <w:p w:rsidR="000C5D28" w:rsidRPr="007856EE" w:rsidRDefault="000C5D28" w:rsidP="000C5D28">
            <w:r w:rsidRPr="007856EE">
              <w:t xml:space="preserve">The </w:t>
            </w:r>
            <w:r w:rsidRPr="007856EE">
              <w:rPr>
                <w:b/>
              </w:rPr>
              <w:t>Summer Courses</w:t>
            </w:r>
            <w:bookmarkStart w:id="0" w:name="_GoBack"/>
            <w:bookmarkEnd w:id="0"/>
            <w:r w:rsidRPr="007856EE">
              <w:t xml:space="preserve">, which will be your focus, operate from mid-June to late August. The whole college becomes a busy ‘conference centre’ with a wide range of short courses for </w:t>
            </w:r>
            <w:r w:rsidRPr="007856EE">
              <w:rPr>
                <w:b/>
              </w:rPr>
              <w:t xml:space="preserve">juniors, teenagers and older students </w:t>
            </w:r>
            <w:r w:rsidRPr="007856EE">
              <w:t xml:space="preserve">on </w:t>
            </w:r>
            <w:r w:rsidRPr="007856EE">
              <w:rPr>
                <w:b/>
              </w:rPr>
              <w:t xml:space="preserve">three sites </w:t>
            </w:r>
            <w:r w:rsidRPr="007856EE">
              <w:t>within the city. The Summer Admissions department covers the following courses:</w:t>
            </w:r>
          </w:p>
          <w:p w:rsidR="000C5D28" w:rsidRPr="007856EE" w:rsidRDefault="000C5D28" w:rsidP="000C5D28">
            <w:pPr>
              <w:pStyle w:val="ListParagraph"/>
              <w:numPr>
                <w:ilvl w:val="0"/>
                <w:numId w:val="1"/>
              </w:numPr>
              <w:contextualSpacing/>
              <w:rPr>
                <w:rFonts w:asciiTheme="minorHAnsi" w:hAnsiTheme="minorHAnsi"/>
              </w:rPr>
            </w:pPr>
            <w:r w:rsidRPr="007856EE">
              <w:rPr>
                <w:rFonts w:asciiTheme="minorHAnsi" w:hAnsiTheme="minorHAnsi"/>
              </w:rPr>
              <w:t>the full range of summer courses for teenagers and juniors;</w:t>
            </w:r>
          </w:p>
          <w:p w:rsidR="000C5D28" w:rsidRPr="007856EE" w:rsidRDefault="000C5D28" w:rsidP="000C5D28">
            <w:pPr>
              <w:pStyle w:val="ListParagraph"/>
              <w:numPr>
                <w:ilvl w:val="0"/>
                <w:numId w:val="1"/>
              </w:numPr>
              <w:contextualSpacing/>
              <w:rPr>
                <w:rFonts w:asciiTheme="minorHAnsi" w:hAnsiTheme="minorHAnsi"/>
              </w:rPr>
            </w:pPr>
            <w:r w:rsidRPr="007856EE">
              <w:rPr>
                <w:rFonts w:asciiTheme="minorHAnsi" w:hAnsiTheme="minorHAnsi"/>
              </w:rPr>
              <w:t>IB Summer Courses and IB Teacher Workshops throughout the year; and</w:t>
            </w:r>
          </w:p>
          <w:p w:rsidR="007579B5" w:rsidRPr="000C5D28" w:rsidRDefault="000C5D28" w:rsidP="000C5D28">
            <w:pPr>
              <w:pStyle w:val="ListParagraph"/>
              <w:numPr>
                <w:ilvl w:val="0"/>
                <w:numId w:val="1"/>
              </w:numPr>
              <w:contextualSpacing/>
              <w:rPr>
                <w:rFonts w:ascii="Candara" w:hAnsi="Candara"/>
              </w:rPr>
            </w:pPr>
            <w:r w:rsidRPr="007856EE">
              <w:rPr>
                <w:rFonts w:asciiTheme="minorHAnsi" w:hAnsiTheme="minorHAnsi"/>
              </w:rPr>
              <w:t>Closed Group Courses at various times of the year.</w:t>
            </w:r>
          </w:p>
        </w:tc>
      </w:tr>
      <w:tr w:rsidR="007579B5" w:rsidTr="00814943">
        <w:tc>
          <w:tcPr>
            <w:tcW w:w="1602" w:type="dxa"/>
            <w:shd w:val="clear" w:color="auto" w:fill="A7E4FF"/>
          </w:tcPr>
          <w:p w:rsidR="007579B5" w:rsidRDefault="007579B5" w:rsidP="007579B5">
            <w:r>
              <w:t>Reporting Structure</w:t>
            </w:r>
          </w:p>
        </w:tc>
        <w:tc>
          <w:tcPr>
            <w:tcW w:w="7607" w:type="dxa"/>
          </w:tcPr>
          <w:p w:rsidR="007579B5" w:rsidRPr="00E022D4" w:rsidRDefault="00E022D4" w:rsidP="00450E18">
            <w:pPr>
              <w:rPr>
                <w:rFonts w:ascii="Calibri" w:hAnsi="Calibri" w:cs="Arial"/>
              </w:rPr>
            </w:pPr>
            <w:r w:rsidRPr="00E022D4">
              <w:rPr>
                <w:rFonts w:ascii="Calibri" w:hAnsi="Calibri" w:cs="Arial"/>
              </w:rPr>
              <w:t xml:space="preserve">The Summer Admissions Administrator reports to the </w:t>
            </w:r>
            <w:r w:rsidR="000C5D28">
              <w:rPr>
                <w:rFonts w:ascii="Calibri" w:hAnsi="Calibri" w:cs="Arial"/>
              </w:rPr>
              <w:t xml:space="preserve">Summer Admissions </w:t>
            </w:r>
            <w:r w:rsidR="00450E18">
              <w:rPr>
                <w:rFonts w:ascii="Calibri" w:hAnsi="Calibri" w:cs="Arial"/>
              </w:rPr>
              <w:t>M</w:t>
            </w:r>
            <w:r w:rsidR="000C5D28">
              <w:rPr>
                <w:rFonts w:ascii="Calibri" w:hAnsi="Calibri" w:cs="Arial"/>
              </w:rPr>
              <w:t xml:space="preserve">anager </w:t>
            </w:r>
            <w:r w:rsidRPr="00E022D4">
              <w:rPr>
                <w:rFonts w:ascii="Calibri" w:hAnsi="Calibri" w:cs="Arial"/>
              </w:rPr>
              <w:t xml:space="preserve">and liaises closely with the </w:t>
            </w:r>
            <w:r w:rsidR="000C5D28">
              <w:rPr>
                <w:rFonts w:ascii="Calibri" w:hAnsi="Calibri" w:cs="Arial"/>
              </w:rPr>
              <w:t>Business Manager</w:t>
            </w:r>
            <w:r w:rsidRPr="00E022D4">
              <w:rPr>
                <w:rFonts w:ascii="Calibri" w:hAnsi="Calibri" w:cs="Arial"/>
                <w:color w:val="C00000"/>
              </w:rPr>
              <w:t xml:space="preserve"> </w:t>
            </w:r>
            <w:r w:rsidRPr="00E022D4">
              <w:rPr>
                <w:rFonts w:ascii="Calibri" w:hAnsi="Calibri" w:cs="Arial"/>
              </w:rPr>
              <w:t>and the Director of English Language Courses.</w:t>
            </w:r>
          </w:p>
        </w:tc>
      </w:tr>
      <w:tr w:rsidR="00BD6BC3" w:rsidTr="00814943">
        <w:tc>
          <w:tcPr>
            <w:tcW w:w="1602" w:type="dxa"/>
            <w:shd w:val="clear" w:color="auto" w:fill="A7E4FF"/>
          </w:tcPr>
          <w:p w:rsidR="00BD6BC3" w:rsidRDefault="00BD6BC3" w:rsidP="00837D01">
            <w:r>
              <w:t>Key Responsibilities</w:t>
            </w:r>
          </w:p>
          <w:p w:rsidR="00BD6BC3" w:rsidRDefault="00BD6BC3" w:rsidP="00837D01"/>
          <w:p w:rsidR="00345B6E" w:rsidRDefault="00345B6E" w:rsidP="00837D01"/>
        </w:tc>
        <w:tc>
          <w:tcPr>
            <w:tcW w:w="7607" w:type="dxa"/>
          </w:tcPr>
          <w:p w:rsidR="00E022D4" w:rsidRPr="00E022D4" w:rsidRDefault="00E022D4" w:rsidP="00E022D4">
            <w:pPr>
              <w:pStyle w:val="ListParagraph"/>
              <w:numPr>
                <w:ilvl w:val="0"/>
                <w:numId w:val="3"/>
              </w:numPr>
              <w:contextualSpacing/>
              <w:jc w:val="both"/>
            </w:pPr>
            <w:r w:rsidRPr="00E022D4">
              <w:t>Displays sound product knowledge of summer courses and related services.</w:t>
            </w:r>
          </w:p>
          <w:p w:rsidR="00E022D4" w:rsidRPr="00E022D4" w:rsidRDefault="00E022D4" w:rsidP="00E022D4">
            <w:pPr>
              <w:pStyle w:val="ListParagraph"/>
              <w:numPr>
                <w:ilvl w:val="0"/>
                <w:numId w:val="3"/>
              </w:numPr>
              <w:contextualSpacing/>
              <w:jc w:val="both"/>
            </w:pPr>
            <w:r w:rsidRPr="00E022D4">
              <w:t>Liaises with other members of the Summer Admissions team.</w:t>
            </w:r>
          </w:p>
          <w:p w:rsidR="00E022D4" w:rsidRPr="00E022D4" w:rsidRDefault="00E022D4" w:rsidP="00E022D4">
            <w:pPr>
              <w:pStyle w:val="ListParagraph"/>
              <w:numPr>
                <w:ilvl w:val="0"/>
                <w:numId w:val="3"/>
              </w:numPr>
              <w:contextualSpacing/>
              <w:jc w:val="both"/>
              <w:rPr>
                <w:b/>
              </w:rPr>
            </w:pPr>
            <w:r w:rsidRPr="00E022D4">
              <w:t>Takes primary responsibility for direct enquiries by email, telephone and in person</w:t>
            </w:r>
            <w:r w:rsidRPr="00E022D4">
              <w:rPr>
                <w:b/>
              </w:rPr>
              <w:t>.</w:t>
            </w:r>
          </w:p>
          <w:p w:rsidR="00E022D4" w:rsidRPr="00E022D4" w:rsidRDefault="00E022D4" w:rsidP="000C5D28">
            <w:pPr>
              <w:pStyle w:val="ListParagraph"/>
              <w:numPr>
                <w:ilvl w:val="0"/>
                <w:numId w:val="3"/>
              </w:numPr>
              <w:contextualSpacing/>
              <w:jc w:val="both"/>
            </w:pPr>
            <w:r w:rsidRPr="00E022D4">
              <w:t>Supports direct bookings throughout the registration process: responding to enquiries, monitoring or inputting student data in CLASS, invoicing, sending joining and visa documents, advising on transfers, taking payments etc.</w:t>
            </w:r>
          </w:p>
          <w:p w:rsidR="00E022D4" w:rsidRPr="00E022D4" w:rsidRDefault="00E022D4" w:rsidP="000C5D28">
            <w:pPr>
              <w:pStyle w:val="ListParagraph"/>
              <w:numPr>
                <w:ilvl w:val="0"/>
                <w:numId w:val="3"/>
              </w:numPr>
              <w:contextualSpacing/>
              <w:jc w:val="both"/>
            </w:pPr>
            <w:r w:rsidRPr="00E022D4">
              <w:t>Liaises with Bursary re the collection of payments.</w:t>
            </w:r>
          </w:p>
          <w:p w:rsidR="00E022D4" w:rsidRPr="00E022D4" w:rsidRDefault="00E022D4" w:rsidP="00E022D4">
            <w:pPr>
              <w:pStyle w:val="ListParagraph"/>
              <w:numPr>
                <w:ilvl w:val="0"/>
                <w:numId w:val="3"/>
              </w:numPr>
              <w:contextualSpacing/>
              <w:jc w:val="both"/>
            </w:pPr>
            <w:r w:rsidRPr="00E022D4">
              <w:t xml:space="preserve">Assists personally with arrivals on a minimum of two Sundays during the season (the salary takes this into account). In </w:t>
            </w:r>
            <w:r w:rsidR="000C5D28" w:rsidRPr="00E022D4">
              <w:t>addition,</w:t>
            </w:r>
            <w:r w:rsidRPr="00E022D4">
              <w:t xml:space="preserve"> there </w:t>
            </w:r>
            <w:r w:rsidR="000C5D28">
              <w:t>may be</w:t>
            </w:r>
            <w:r w:rsidRPr="00E022D4">
              <w:t xml:space="preserve"> a requirement to work two further Sundays at Heathrow airport</w:t>
            </w:r>
            <w:r w:rsidR="000C5D28">
              <w:t xml:space="preserve"> or college campus as required</w:t>
            </w:r>
            <w:r w:rsidRPr="00E022D4">
              <w:t xml:space="preserve"> (the junior arrival days), which will be paid at the hourly </w:t>
            </w:r>
            <w:r w:rsidRPr="00AC7444">
              <w:t xml:space="preserve">rate of </w:t>
            </w:r>
            <w:r w:rsidR="00AC7444" w:rsidRPr="007856EE">
              <w:rPr>
                <w:b/>
              </w:rPr>
              <w:t>£10.</w:t>
            </w:r>
            <w:r w:rsidR="007856EE" w:rsidRPr="007856EE">
              <w:rPr>
                <w:b/>
              </w:rPr>
              <w:t>69</w:t>
            </w:r>
          </w:p>
          <w:p w:rsidR="00E022D4" w:rsidRPr="00E022D4" w:rsidRDefault="00E022D4" w:rsidP="00C96D65">
            <w:pPr>
              <w:pStyle w:val="ListParagraph"/>
              <w:numPr>
                <w:ilvl w:val="0"/>
                <w:numId w:val="3"/>
              </w:numPr>
              <w:contextualSpacing/>
              <w:jc w:val="both"/>
            </w:pPr>
            <w:r w:rsidRPr="00E022D4">
              <w:t>Supports and covers for colleagues prior to and during the season as required by the needs of summer operation: including transfers, agent bookings, ID cards, taxis, coaches, training etc.</w:t>
            </w:r>
          </w:p>
          <w:p w:rsidR="00E022D4" w:rsidRPr="00E022D4" w:rsidRDefault="00E022D4" w:rsidP="00E022D4">
            <w:pPr>
              <w:pStyle w:val="ListParagraph"/>
              <w:numPr>
                <w:ilvl w:val="0"/>
                <w:numId w:val="3"/>
              </w:numPr>
              <w:contextualSpacing/>
              <w:jc w:val="both"/>
            </w:pPr>
            <w:r w:rsidRPr="00E022D4">
              <w:t>Performs other related duties as required by the Principal</w:t>
            </w:r>
          </w:p>
          <w:p w:rsidR="00E022D4" w:rsidRPr="00E022D4" w:rsidRDefault="00E022D4" w:rsidP="00E022D4">
            <w:pPr>
              <w:pStyle w:val="ListParagraph"/>
              <w:rPr>
                <w:rFonts w:cs="Arial"/>
                <w:lang w:eastAsia="en-GB"/>
              </w:rPr>
            </w:pPr>
          </w:p>
          <w:p w:rsidR="00E022D4" w:rsidRPr="00E022D4" w:rsidRDefault="00E022D4" w:rsidP="00E022D4">
            <w:pPr>
              <w:jc w:val="both"/>
              <w:rPr>
                <w:rFonts w:ascii="Calibri" w:hAnsi="Calibri" w:cs="Arial"/>
              </w:rPr>
            </w:pPr>
            <w:r w:rsidRPr="00E022D4">
              <w:rPr>
                <w:rFonts w:ascii="Calibri" w:hAnsi="Calibri" w:cs="Arial"/>
                <w:lang w:eastAsia="en-GB"/>
              </w:rPr>
              <w:lastRenderedPageBreak/>
              <w:t>The successful candidate will be expected to adapt to the differing requirements of the role as the summer season approaches:</w:t>
            </w:r>
          </w:p>
          <w:p w:rsidR="00E022D4" w:rsidRPr="00E022D4" w:rsidRDefault="00E022D4" w:rsidP="00E022D4">
            <w:pPr>
              <w:pStyle w:val="ListParagraph"/>
              <w:numPr>
                <w:ilvl w:val="0"/>
                <w:numId w:val="2"/>
              </w:numPr>
              <w:jc w:val="both"/>
              <w:rPr>
                <w:rFonts w:cs="Arial"/>
              </w:rPr>
            </w:pPr>
            <w:r w:rsidRPr="00E022D4">
              <w:rPr>
                <w:rFonts w:cs="Arial"/>
                <w:lang w:eastAsia="en-GB"/>
              </w:rPr>
              <w:t>There should be a free exchange of information in the admissions office. Roles are largely interchangeable and each member of the team will cover for colleagues in the interests of the client.</w:t>
            </w:r>
          </w:p>
          <w:p w:rsidR="00E022D4" w:rsidRPr="00E022D4" w:rsidRDefault="00E022D4" w:rsidP="00E022D4">
            <w:pPr>
              <w:pStyle w:val="ListParagraph"/>
              <w:jc w:val="both"/>
              <w:rPr>
                <w:rFonts w:cs="Arial"/>
              </w:rPr>
            </w:pPr>
          </w:p>
          <w:p w:rsidR="00EF2BA7" w:rsidRPr="00E022D4" w:rsidRDefault="00E022D4" w:rsidP="00CC0D34">
            <w:pPr>
              <w:pStyle w:val="ListParagraph"/>
              <w:numPr>
                <w:ilvl w:val="0"/>
                <w:numId w:val="2"/>
              </w:numPr>
              <w:jc w:val="both"/>
              <w:rPr>
                <w:rFonts w:cs="Arial"/>
                <w:lang w:eastAsia="en-GB"/>
              </w:rPr>
            </w:pPr>
            <w:r w:rsidRPr="00E022D4">
              <w:rPr>
                <w:rFonts w:cs="Arial"/>
                <w:lang w:eastAsia="en-GB"/>
              </w:rPr>
              <w:t xml:space="preserve">Pressure in the office builds as the courses become full and alternative start dates and accommodation are offered. Flexible working is also </w:t>
            </w:r>
            <w:r w:rsidR="00CC0D34">
              <w:rPr>
                <w:rFonts w:cs="Arial"/>
                <w:lang w:eastAsia="en-GB"/>
              </w:rPr>
              <w:t>required from late June to late July</w:t>
            </w:r>
            <w:r w:rsidRPr="00E022D4">
              <w:rPr>
                <w:rFonts w:cs="Arial"/>
                <w:lang w:eastAsia="en-GB"/>
              </w:rPr>
              <w:t>.</w:t>
            </w:r>
          </w:p>
        </w:tc>
      </w:tr>
      <w:tr w:rsidR="00BD6BC3" w:rsidTr="00814943">
        <w:tc>
          <w:tcPr>
            <w:tcW w:w="9209" w:type="dxa"/>
            <w:gridSpan w:val="2"/>
            <w:shd w:val="clear" w:color="auto" w:fill="A7E4FF"/>
          </w:tcPr>
          <w:p w:rsidR="00BD6BC3" w:rsidRPr="00BD6BC3" w:rsidRDefault="00BD6BC3" w:rsidP="00BD6BC3">
            <w:pPr>
              <w:jc w:val="center"/>
              <w:rPr>
                <w:b/>
              </w:rPr>
            </w:pPr>
            <w:r w:rsidRPr="00BD6BC3">
              <w:rPr>
                <w:b/>
              </w:rPr>
              <w:lastRenderedPageBreak/>
              <w:t>TERMS AND CONDITIONS</w:t>
            </w:r>
          </w:p>
        </w:tc>
      </w:tr>
      <w:tr w:rsidR="007579B5" w:rsidTr="00814943">
        <w:tc>
          <w:tcPr>
            <w:tcW w:w="1602" w:type="dxa"/>
            <w:shd w:val="clear" w:color="auto" w:fill="A7E4FF"/>
          </w:tcPr>
          <w:p w:rsidR="007579B5" w:rsidRDefault="007579B5" w:rsidP="007579B5">
            <w:r>
              <w:t>Terms of Employment</w:t>
            </w:r>
          </w:p>
        </w:tc>
        <w:tc>
          <w:tcPr>
            <w:tcW w:w="7607" w:type="dxa"/>
          </w:tcPr>
          <w:p w:rsidR="007579B5" w:rsidRDefault="00E022D4" w:rsidP="00450E18">
            <w:r>
              <w:t xml:space="preserve">Full- time, </w:t>
            </w:r>
            <w:r w:rsidR="009C1855">
              <w:t>fixed term contract</w:t>
            </w:r>
            <w:r>
              <w:t xml:space="preserve"> </w:t>
            </w:r>
            <w:r w:rsidR="00E76E70">
              <w:t xml:space="preserve">from </w:t>
            </w:r>
            <w:r w:rsidR="00450E18">
              <w:t>08</w:t>
            </w:r>
            <w:r w:rsidR="00E76E70">
              <w:t xml:space="preserve"> January 201</w:t>
            </w:r>
            <w:r w:rsidR="00450E18">
              <w:t>8</w:t>
            </w:r>
            <w:r w:rsidR="00E76E70">
              <w:t xml:space="preserve"> to </w:t>
            </w:r>
            <w:r w:rsidR="00450E18">
              <w:t>17 August 2018</w:t>
            </w:r>
            <w:r>
              <w:t>.</w:t>
            </w:r>
          </w:p>
        </w:tc>
      </w:tr>
      <w:tr w:rsidR="007579B5" w:rsidTr="00814943">
        <w:tc>
          <w:tcPr>
            <w:tcW w:w="1602" w:type="dxa"/>
            <w:shd w:val="clear" w:color="auto" w:fill="A7E4FF"/>
          </w:tcPr>
          <w:p w:rsidR="007579B5" w:rsidRDefault="009C1855" w:rsidP="007579B5">
            <w:r>
              <w:t>Place of Work</w:t>
            </w:r>
          </w:p>
          <w:p w:rsidR="009C1855" w:rsidRDefault="009C1855" w:rsidP="007579B5"/>
        </w:tc>
        <w:tc>
          <w:tcPr>
            <w:tcW w:w="7607" w:type="dxa"/>
          </w:tcPr>
          <w:p w:rsidR="00EF2BA7" w:rsidRDefault="00EF2BA7" w:rsidP="007856EE">
            <w:r>
              <w:t>1</w:t>
            </w:r>
            <w:r w:rsidR="00E022D4">
              <w:t>39 Banbury Road, Oxford, OX2 7AL</w:t>
            </w:r>
          </w:p>
        </w:tc>
      </w:tr>
      <w:tr w:rsidR="007579B5" w:rsidTr="00814943">
        <w:tc>
          <w:tcPr>
            <w:tcW w:w="1602" w:type="dxa"/>
            <w:shd w:val="clear" w:color="auto" w:fill="A7E4FF"/>
          </w:tcPr>
          <w:p w:rsidR="007579B5" w:rsidRDefault="009C1855" w:rsidP="007579B5">
            <w:r>
              <w:t>Hours of Work</w:t>
            </w:r>
          </w:p>
        </w:tc>
        <w:tc>
          <w:tcPr>
            <w:tcW w:w="7607" w:type="dxa"/>
          </w:tcPr>
          <w:p w:rsidR="00024394" w:rsidRDefault="00E022D4" w:rsidP="007856EE">
            <w:r w:rsidRPr="00024394">
              <w:rPr>
                <w:rFonts w:ascii="Calibri" w:hAnsi="Calibri"/>
              </w:rPr>
              <w:t xml:space="preserve">35 </w:t>
            </w:r>
            <w:r w:rsidR="00024394" w:rsidRPr="00024394">
              <w:rPr>
                <w:rFonts w:ascii="Calibri" w:hAnsi="Calibri"/>
              </w:rPr>
              <w:t xml:space="preserve">hours per week, working 09.00 to 17.00 from Monday to Friday with a commitment to work </w:t>
            </w:r>
            <w:r w:rsidR="00024394" w:rsidRPr="00024394">
              <w:rPr>
                <w:rFonts w:ascii="Calibri" w:hAnsi="Calibri" w:cs="Arial"/>
                <w:color w:val="000000"/>
              </w:rPr>
              <w:t xml:space="preserve">some evenings and two Sundays (the salary takes this into account). </w:t>
            </w:r>
            <w:r w:rsidR="00024394" w:rsidRPr="00024394">
              <w:rPr>
                <w:rFonts w:ascii="Calibri" w:hAnsi="Calibri"/>
              </w:rPr>
              <w:t>In addition, there is a requirement to work two further Sundays at Heathrow airport</w:t>
            </w:r>
            <w:r w:rsidR="00AC7444">
              <w:rPr>
                <w:rFonts w:ascii="Calibri" w:hAnsi="Calibri"/>
              </w:rPr>
              <w:t xml:space="preserve"> or at 139 Banbury Road</w:t>
            </w:r>
            <w:r w:rsidR="00024394" w:rsidRPr="00024394">
              <w:rPr>
                <w:rFonts w:ascii="Calibri" w:hAnsi="Calibri"/>
              </w:rPr>
              <w:t xml:space="preserve"> (the junior arrival days), which will be paid at the </w:t>
            </w:r>
            <w:r w:rsidR="00024394">
              <w:rPr>
                <w:rFonts w:ascii="Calibri" w:hAnsi="Calibri"/>
              </w:rPr>
              <w:t xml:space="preserve">hourly rate of </w:t>
            </w:r>
            <w:r w:rsidR="00024394" w:rsidRPr="00581674">
              <w:rPr>
                <w:rFonts w:ascii="Calibri" w:hAnsi="Calibri"/>
              </w:rPr>
              <w:t>£10.</w:t>
            </w:r>
            <w:r w:rsidR="007856EE" w:rsidRPr="00581674">
              <w:rPr>
                <w:rFonts w:ascii="Calibri" w:hAnsi="Calibri"/>
              </w:rPr>
              <w:t>69</w:t>
            </w:r>
          </w:p>
        </w:tc>
      </w:tr>
      <w:tr w:rsidR="00345B6E" w:rsidTr="00814943">
        <w:tc>
          <w:tcPr>
            <w:tcW w:w="1602" w:type="dxa"/>
            <w:shd w:val="clear" w:color="auto" w:fill="A7E4FF"/>
          </w:tcPr>
          <w:p w:rsidR="00345B6E" w:rsidRDefault="00345B6E" w:rsidP="007579B5">
            <w:r>
              <w:t>Probationary Period</w:t>
            </w:r>
          </w:p>
        </w:tc>
        <w:tc>
          <w:tcPr>
            <w:tcW w:w="7607" w:type="dxa"/>
          </w:tcPr>
          <w:p w:rsidR="00345B6E" w:rsidRDefault="00AC7444" w:rsidP="007856EE">
            <w:r>
              <w:t>1</w:t>
            </w:r>
            <w:r w:rsidR="00024394">
              <w:t xml:space="preserve"> </w:t>
            </w:r>
            <w:r w:rsidR="00345B6E">
              <w:t>mont</w:t>
            </w:r>
            <w:r>
              <w:t>h</w:t>
            </w:r>
          </w:p>
        </w:tc>
      </w:tr>
      <w:tr w:rsidR="00345B6E" w:rsidTr="00814943">
        <w:tc>
          <w:tcPr>
            <w:tcW w:w="1602" w:type="dxa"/>
            <w:shd w:val="clear" w:color="auto" w:fill="A7E4FF"/>
          </w:tcPr>
          <w:p w:rsidR="00345B6E" w:rsidRDefault="00345B6E" w:rsidP="007579B5">
            <w:r>
              <w:t>Notice Period</w:t>
            </w:r>
          </w:p>
        </w:tc>
        <w:tc>
          <w:tcPr>
            <w:tcW w:w="7607" w:type="dxa"/>
          </w:tcPr>
          <w:p w:rsidR="00345B6E" w:rsidRDefault="00AC7444" w:rsidP="007856EE">
            <w:r>
              <w:t>2 Weeks</w:t>
            </w:r>
          </w:p>
        </w:tc>
      </w:tr>
      <w:tr w:rsidR="007579B5" w:rsidTr="00814943">
        <w:tc>
          <w:tcPr>
            <w:tcW w:w="1602" w:type="dxa"/>
            <w:shd w:val="clear" w:color="auto" w:fill="A7E4FF"/>
          </w:tcPr>
          <w:p w:rsidR="007579B5" w:rsidRDefault="009C1855" w:rsidP="007579B5">
            <w:r>
              <w:t>Salary / Pay</w:t>
            </w:r>
          </w:p>
        </w:tc>
        <w:tc>
          <w:tcPr>
            <w:tcW w:w="7607" w:type="dxa"/>
          </w:tcPr>
          <w:p w:rsidR="00CC0D34" w:rsidRPr="00450E18" w:rsidRDefault="007C140F" w:rsidP="00024394">
            <w:pPr>
              <w:jc w:val="both"/>
              <w:rPr>
                <w:rFonts w:ascii="Calibri" w:hAnsi="Calibri" w:cs="Arial"/>
                <w:color w:val="FF0000"/>
                <w:kern w:val="28"/>
              </w:rPr>
            </w:pPr>
            <w:r w:rsidRPr="007856EE">
              <w:rPr>
                <w:rFonts w:ascii="Calibri" w:hAnsi="Calibri" w:cs="Arial"/>
              </w:rPr>
              <w:t>£</w:t>
            </w:r>
            <w:r w:rsidR="00CC0D34" w:rsidRPr="007856EE">
              <w:rPr>
                <w:rFonts w:ascii="Calibri" w:hAnsi="Calibri" w:cs="Arial"/>
              </w:rPr>
              <w:t>19,</w:t>
            </w:r>
            <w:r w:rsidR="007856EE" w:rsidRPr="007856EE">
              <w:rPr>
                <w:rFonts w:ascii="Calibri" w:hAnsi="Calibri" w:cs="Arial"/>
              </w:rPr>
              <w:t>460</w:t>
            </w:r>
            <w:r w:rsidR="00CC0D34" w:rsidRPr="007856EE">
              <w:rPr>
                <w:rFonts w:ascii="Calibri" w:hAnsi="Calibri" w:cs="Arial"/>
              </w:rPr>
              <w:t xml:space="preserve"> p.a. </w:t>
            </w:r>
            <w:r w:rsidR="00145955">
              <w:rPr>
                <w:rFonts w:ascii="Calibri" w:hAnsi="Calibri" w:cs="Arial"/>
              </w:rPr>
              <w:t>(</w:t>
            </w:r>
            <w:r w:rsidR="00CC0D34" w:rsidRPr="00DF25E7">
              <w:rPr>
                <w:rFonts w:ascii="Calibri" w:hAnsi="Calibri" w:cs="Arial"/>
              </w:rPr>
              <w:t xml:space="preserve">pro rata </w:t>
            </w:r>
            <w:r w:rsidR="00145955">
              <w:rPr>
                <w:rFonts w:ascii="Calibri" w:hAnsi="Calibri" w:cs="Arial"/>
              </w:rPr>
              <w:t>equivalent</w:t>
            </w:r>
            <w:r w:rsidR="00CC0D34" w:rsidRPr="0085041F">
              <w:rPr>
                <w:rFonts w:ascii="Calibri" w:hAnsi="Calibri" w:cs="Arial"/>
              </w:rPr>
              <w:t xml:space="preserve"> </w:t>
            </w:r>
            <w:r w:rsidRPr="0085041F">
              <w:rPr>
                <w:rFonts w:ascii="Calibri" w:hAnsi="Calibri" w:cs="Arial"/>
              </w:rPr>
              <w:t>£</w:t>
            </w:r>
            <w:r w:rsidR="000B7881" w:rsidRPr="0085041F">
              <w:rPr>
                <w:rFonts w:ascii="Calibri" w:hAnsi="Calibri" w:cs="Arial"/>
              </w:rPr>
              <w:t>11,975</w:t>
            </w:r>
            <w:r w:rsidR="00CC0D34" w:rsidRPr="0085041F">
              <w:rPr>
                <w:rFonts w:ascii="Calibri" w:hAnsi="Calibri" w:cs="Arial"/>
              </w:rPr>
              <w:t xml:space="preserve"> </w:t>
            </w:r>
            <w:r w:rsidR="00CC0D34" w:rsidRPr="007856EE">
              <w:rPr>
                <w:rFonts w:ascii="Calibri" w:hAnsi="Calibri" w:cs="Arial"/>
              </w:rPr>
              <w:t>for term of contract</w:t>
            </w:r>
            <w:r w:rsidR="00145955">
              <w:rPr>
                <w:rFonts w:ascii="Calibri" w:hAnsi="Calibri" w:cs="Arial"/>
              </w:rPr>
              <w:t>)</w:t>
            </w:r>
          </w:p>
          <w:p w:rsidR="009C1855" w:rsidRPr="00024394" w:rsidRDefault="00CC0D34" w:rsidP="007856EE">
            <w:pPr>
              <w:jc w:val="both"/>
              <w:rPr>
                <w:rFonts w:ascii="Calibri" w:hAnsi="Calibri"/>
              </w:rPr>
            </w:pPr>
            <w:r>
              <w:rPr>
                <w:rFonts w:ascii="Calibri" w:hAnsi="Calibri" w:cs="Arial"/>
                <w:kern w:val="28"/>
              </w:rPr>
              <w:t>Salary is paid monthly</w:t>
            </w:r>
          </w:p>
        </w:tc>
      </w:tr>
      <w:tr w:rsidR="007579B5" w:rsidTr="00814943">
        <w:tc>
          <w:tcPr>
            <w:tcW w:w="1602" w:type="dxa"/>
            <w:shd w:val="clear" w:color="auto" w:fill="A7E4FF"/>
          </w:tcPr>
          <w:p w:rsidR="007579B5" w:rsidRDefault="009C1855" w:rsidP="007579B5">
            <w:r>
              <w:t>Holidays</w:t>
            </w:r>
          </w:p>
        </w:tc>
        <w:tc>
          <w:tcPr>
            <w:tcW w:w="7607" w:type="dxa"/>
          </w:tcPr>
          <w:p w:rsidR="00024394" w:rsidRPr="00024394" w:rsidRDefault="00024394" w:rsidP="00024394">
            <w:pPr>
              <w:jc w:val="both"/>
              <w:rPr>
                <w:rFonts w:ascii="Calibri" w:hAnsi="Calibri" w:cs="Calibri"/>
              </w:rPr>
            </w:pPr>
            <w:r w:rsidRPr="00024394">
              <w:rPr>
                <w:rFonts w:ascii="Calibri" w:hAnsi="Calibri" w:cs="Calibri"/>
              </w:rPr>
              <w:t xml:space="preserve">Holiday entitlement is approximately </w:t>
            </w:r>
            <w:r w:rsidRPr="0085041F">
              <w:rPr>
                <w:rFonts w:ascii="Calibri" w:hAnsi="Calibri" w:cs="Calibri"/>
              </w:rPr>
              <w:t>1</w:t>
            </w:r>
            <w:r w:rsidR="0085041F" w:rsidRPr="0085041F">
              <w:rPr>
                <w:rFonts w:ascii="Calibri" w:hAnsi="Calibri" w:cs="Calibri"/>
              </w:rPr>
              <w:t>3.5</w:t>
            </w:r>
            <w:r w:rsidRPr="0085041F">
              <w:rPr>
                <w:rFonts w:ascii="Calibri" w:hAnsi="Calibri" w:cs="Calibri"/>
              </w:rPr>
              <w:t xml:space="preserve"> </w:t>
            </w:r>
            <w:r w:rsidRPr="007856EE">
              <w:rPr>
                <w:rFonts w:ascii="Calibri" w:hAnsi="Calibri" w:cs="Calibri"/>
              </w:rPr>
              <w:t xml:space="preserve">working days </w:t>
            </w:r>
            <w:r w:rsidRPr="00024394">
              <w:rPr>
                <w:rFonts w:ascii="Calibri" w:hAnsi="Calibri" w:cs="Calibri"/>
              </w:rPr>
              <w:t xml:space="preserve">(depending on start date), plus normal public holidays. </w:t>
            </w:r>
          </w:p>
          <w:p w:rsidR="00024394" w:rsidRDefault="00024394" w:rsidP="00024394">
            <w:pPr>
              <w:rPr>
                <w:rFonts w:ascii="Calibri" w:hAnsi="Calibri"/>
              </w:rPr>
            </w:pPr>
          </w:p>
          <w:p w:rsidR="00AC7444" w:rsidRDefault="00AC7444" w:rsidP="00024394">
            <w:pPr>
              <w:rPr>
                <w:rFonts w:ascii="Calibri" w:hAnsi="Calibri"/>
              </w:rPr>
            </w:pPr>
            <w:r>
              <w:rPr>
                <w:rFonts w:ascii="Calibri" w:hAnsi="Calibri"/>
              </w:rPr>
              <w:t>5 days of this entitlement must be kept and taken during the last week of the fixed term contract.</w:t>
            </w:r>
          </w:p>
          <w:p w:rsidR="00AC7444" w:rsidRPr="00024394" w:rsidRDefault="00AC7444" w:rsidP="00024394">
            <w:pPr>
              <w:rPr>
                <w:rFonts w:ascii="Calibri" w:hAnsi="Calibri"/>
              </w:rPr>
            </w:pPr>
          </w:p>
          <w:p w:rsidR="007579B5" w:rsidRPr="00024394" w:rsidRDefault="00024394" w:rsidP="007856EE">
            <w:pPr>
              <w:jc w:val="both"/>
              <w:rPr>
                <w:rFonts w:ascii="Calibri" w:hAnsi="Calibri"/>
              </w:rPr>
            </w:pPr>
            <w:r w:rsidRPr="00024394">
              <w:rPr>
                <w:rFonts w:ascii="Calibri" w:hAnsi="Calibri" w:cs="Calibri"/>
              </w:rPr>
              <w:t>Work on a number of bank holidays may be required, with time off in lieu (the College is usually open for all such public holidays except those at Christmas and the New Year).</w:t>
            </w:r>
          </w:p>
        </w:tc>
      </w:tr>
      <w:tr w:rsidR="007579B5" w:rsidTr="00814943">
        <w:tc>
          <w:tcPr>
            <w:tcW w:w="1602" w:type="dxa"/>
            <w:shd w:val="clear" w:color="auto" w:fill="A7E4FF"/>
          </w:tcPr>
          <w:p w:rsidR="007579B5" w:rsidRDefault="00E43736" w:rsidP="007579B5">
            <w:r>
              <w:t>Pension</w:t>
            </w:r>
          </w:p>
        </w:tc>
        <w:tc>
          <w:tcPr>
            <w:tcW w:w="7607" w:type="dxa"/>
          </w:tcPr>
          <w:p w:rsidR="00E43736" w:rsidRPr="00024394" w:rsidRDefault="00024394" w:rsidP="007579B5">
            <w:pPr>
              <w:rPr>
                <w:rFonts w:ascii="Calibri" w:hAnsi="Calibri" w:cs="Arial"/>
              </w:rPr>
            </w:pPr>
            <w:r w:rsidRPr="00024394">
              <w:rPr>
                <w:rFonts w:ascii="Calibri" w:hAnsi="Calibri" w:cs="Arial"/>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rsidTr="00814943">
        <w:tc>
          <w:tcPr>
            <w:tcW w:w="1602" w:type="dxa"/>
            <w:shd w:val="clear" w:color="auto" w:fill="A7E4FF"/>
          </w:tcPr>
          <w:p w:rsidR="007579B5" w:rsidRDefault="00E43736" w:rsidP="007579B5">
            <w:r>
              <w:t>Life Assurance</w:t>
            </w:r>
          </w:p>
          <w:p w:rsidR="00E43736" w:rsidRDefault="00E43736" w:rsidP="007579B5"/>
        </w:tc>
        <w:tc>
          <w:tcPr>
            <w:tcW w:w="7607" w:type="dxa"/>
          </w:tcPr>
          <w:p w:rsidR="00D93DF1" w:rsidRDefault="00D93DF1" w:rsidP="007579B5">
            <w:r>
              <w:t>Death in service benefit is four times annual salary</w:t>
            </w:r>
          </w:p>
        </w:tc>
      </w:tr>
      <w:tr w:rsidR="007579B5" w:rsidTr="00814943">
        <w:tc>
          <w:tcPr>
            <w:tcW w:w="1602" w:type="dxa"/>
            <w:shd w:val="clear" w:color="auto" w:fill="A7E4FF"/>
          </w:tcPr>
          <w:p w:rsidR="007579B5" w:rsidRDefault="00FC31CA" w:rsidP="007579B5">
            <w:r>
              <w:t>Meal</w:t>
            </w:r>
          </w:p>
        </w:tc>
        <w:tc>
          <w:tcPr>
            <w:tcW w:w="7607" w:type="dxa"/>
          </w:tcPr>
          <w:p w:rsidR="00E43736" w:rsidRDefault="00E43736" w:rsidP="007856EE">
            <w:r>
              <w:t xml:space="preserve">A free lunch is provided </w:t>
            </w:r>
            <w:r w:rsidR="007B6217">
              <w:t xml:space="preserve">in the College </w:t>
            </w:r>
            <w:r w:rsidR="007856EE">
              <w:t>outlet units</w:t>
            </w:r>
            <w:r w:rsidR="007B6217">
              <w:t xml:space="preserve"> on working days and when students are in residence.</w:t>
            </w:r>
          </w:p>
          <w:p w:rsidR="007856EE" w:rsidRDefault="007856EE" w:rsidP="007856EE"/>
        </w:tc>
      </w:tr>
      <w:tr w:rsidR="007579B5" w:rsidTr="00814943">
        <w:tc>
          <w:tcPr>
            <w:tcW w:w="1602" w:type="dxa"/>
            <w:shd w:val="clear" w:color="auto" w:fill="A7E4FF"/>
          </w:tcPr>
          <w:p w:rsidR="007579B5" w:rsidRDefault="00E43736" w:rsidP="007579B5">
            <w:r>
              <w:t>Childcare Voucher Scheme</w:t>
            </w:r>
          </w:p>
        </w:tc>
        <w:tc>
          <w:tcPr>
            <w:tcW w:w="7607" w:type="dxa"/>
          </w:tcPr>
          <w:p w:rsidR="007856EE" w:rsidRDefault="00E43736" w:rsidP="007856EE">
            <w:r>
              <w:t>The College operates a childcare voucher scheme</w:t>
            </w:r>
          </w:p>
        </w:tc>
      </w:tr>
      <w:tr w:rsidR="00BD6BC3" w:rsidTr="00814943">
        <w:tc>
          <w:tcPr>
            <w:tcW w:w="9209"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024394">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skills and experience:</w:t>
            </w:r>
          </w:p>
        </w:tc>
      </w:tr>
      <w:tr w:rsidR="00BD6BC3" w:rsidTr="00814943">
        <w:tc>
          <w:tcPr>
            <w:tcW w:w="1602" w:type="dxa"/>
            <w:shd w:val="clear" w:color="auto" w:fill="A7E4FF"/>
          </w:tcPr>
          <w:p w:rsidR="00BD6BC3" w:rsidRDefault="00BD6BC3" w:rsidP="007579B5">
            <w:r>
              <w:t>Education and qualifications</w:t>
            </w:r>
          </w:p>
        </w:tc>
        <w:tc>
          <w:tcPr>
            <w:tcW w:w="7607" w:type="dxa"/>
          </w:tcPr>
          <w:p w:rsidR="00024394" w:rsidRPr="002332E5" w:rsidRDefault="00024394" w:rsidP="00024394">
            <w:pPr>
              <w:numPr>
                <w:ilvl w:val="0"/>
                <w:numId w:val="5"/>
              </w:numPr>
              <w:rPr>
                <w:rFonts w:cs="Calibri"/>
              </w:rPr>
            </w:pPr>
            <w:r>
              <w:rPr>
                <w:rFonts w:cs="Calibri"/>
              </w:rPr>
              <w:t>Good level of computer skills (Word</w:t>
            </w:r>
            <w:r w:rsidRPr="002332E5">
              <w:rPr>
                <w:rFonts w:cs="Calibri"/>
              </w:rPr>
              <w:t>, Excel, etc</w:t>
            </w:r>
            <w:r>
              <w:rPr>
                <w:rFonts w:cs="Calibri"/>
              </w:rPr>
              <w:t>.</w:t>
            </w:r>
            <w:r w:rsidRPr="002332E5">
              <w:rPr>
                <w:rFonts w:cs="Calibri"/>
              </w:rPr>
              <w:t>)</w:t>
            </w:r>
            <w:r>
              <w:rPr>
                <w:rFonts w:cs="Calibri"/>
              </w:rPr>
              <w:t xml:space="preserve"> </w:t>
            </w:r>
          </w:p>
          <w:p w:rsidR="00EF2BA7" w:rsidRDefault="00EF2BA7" w:rsidP="007579B5"/>
        </w:tc>
      </w:tr>
      <w:tr w:rsidR="00EF2BA7" w:rsidTr="00814943">
        <w:tc>
          <w:tcPr>
            <w:tcW w:w="1602" w:type="dxa"/>
            <w:shd w:val="clear" w:color="auto" w:fill="A7E4FF"/>
          </w:tcPr>
          <w:p w:rsidR="00EF2BA7" w:rsidRDefault="00EF2BA7" w:rsidP="007579B5">
            <w:r>
              <w:lastRenderedPageBreak/>
              <w:t>Knowledge, skills and experience</w:t>
            </w:r>
          </w:p>
        </w:tc>
        <w:tc>
          <w:tcPr>
            <w:tcW w:w="7607" w:type="dxa"/>
          </w:tcPr>
          <w:p w:rsidR="00024394" w:rsidRPr="00024394" w:rsidRDefault="00024394" w:rsidP="00024394">
            <w:pPr>
              <w:ind w:left="720"/>
            </w:pPr>
          </w:p>
          <w:p w:rsidR="00024394" w:rsidRPr="00024394" w:rsidRDefault="00024394" w:rsidP="00024394">
            <w:pPr>
              <w:numPr>
                <w:ilvl w:val="0"/>
                <w:numId w:val="6"/>
              </w:numPr>
            </w:pPr>
            <w:r w:rsidRPr="002332E5">
              <w:rPr>
                <w:rFonts w:cs="Arial"/>
              </w:rPr>
              <w:t xml:space="preserve">Proven experience of prioritising workload and meeting deadline/ targets </w:t>
            </w:r>
          </w:p>
          <w:p w:rsidR="00024394" w:rsidRPr="002332E5" w:rsidRDefault="00024394" w:rsidP="00024394">
            <w:pPr>
              <w:ind w:left="720"/>
            </w:pPr>
          </w:p>
          <w:p w:rsidR="00C87267" w:rsidRDefault="00024394" w:rsidP="00024394">
            <w:pPr>
              <w:numPr>
                <w:ilvl w:val="0"/>
                <w:numId w:val="6"/>
              </w:numPr>
            </w:pPr>
            <w:r w:rsidRPr="002332E5">
              <w:rPr>
                <w:rFonts w:cs="Arial"/>
              </w:rPr>
              <w:t>Proven experience in a similar role</w:t>
            </w:r>
            <w:r>
              <w:rPr>
                <w:rFonts w:cs="Arial"/>
              </w:rPr>
              <w:t xml:space="preserve"> </w:t>
            </w:r>
          </w:p>
          <w:p w:rsidR="00C87267" w:rsidRDefault="00C87267" w:rsidP="00C87267">
            <w:pPr>
              <w:pStyle w:val="ListParagraph"/>
              <w:rPr>
                <w:rFonts w:cs="Arial"/>
                <w:bCs/>
              </w:rPr>
            </w:pPr>
          </w:p>
          <w:p w:rsidR="00EF2BA7" w:rsidRDefault="00024394" w:rsidP="00A14043">
            <w:pPr>
              <w:numPr>
                <w:ilvl w:val="0"/>
                <w:numId w:val="6"/>
              </w:numPr>
            </w:pPr>
            <w:r w:rsidRPr="00C87267">
              <w:rPr>
                <w:rFonts w:cs="Arial"/>
                <w:bCs/>
              </w:rPr>
              <w:t xml:space="preserve">Proven ability to work under pressure </w:t>
            </w:r>
            <w:r w:rsidRPr="00C87267">
              <w:rPr>
                <w:rFonts w:cs="Arial"/>
              </w:rPr>
              <w:t xml:space="preserve">role </w:t>
            </w:r>
          </w:p>
          <w:p w:rsidR="00C87267" w:rsidRDefault="00C87267" w:rsidP="00C87267"/>
        </w:tc>
      </w:tr>
      <w:tr w:rsidR="00EF2BA7" w:rsidTr="00814943">
        <w:tc>
          <w:tcPr>
            <w:tcW w:w="1602" w:type="dxa"/>
            <w:shd w:val="clear" w:color="auto" w:fill="A7E4FF"/>
          </w:tcPr>
          <w:p w:rsidR="00EF2BA7" w:rsidRDefault="00EF2BA7" w:rsidP="007579B5">
            <w:r>
              <w:t>Personal skills and attributes</w:t>
            </w:r>
          </w:p>
        </w:tc>
        <w:tc>
          <w:tcPr>
            <w:tcW w:w="7607" w:type="dxa"/>
          </w:tcPr>
          <w:p w:rsidR="00C87267" w:rsidRDefault="00C87267" w:rsidP="00C87267">
            <w:pPr>
              <w:ind w:left="720"/>
            </w:pPr>
          </w:p>
          <w:p w:rsidR="00C87267" w:rsidRDefault="00C87267" w:rsidP="00C87267">
            <w:pPr>
              <w:numPr>
                <w:ilvl w:val="0"/>
                <w:numId w:val="7"/>
              </w:numPr>
            </w:pPr>
            <w:r w:rsidRPr="002332E5">
              <w:t xml:space="preserve">Driven, hardworking and enthusiastic individual who pays close attention to detail </w:t>
            </w:r>
          </w:p>
          <w:p w:rsidR="00C87267" w:rsidRPr="002332E5" w:rsidRDefault="00C87267" w:rsidP="00C87267">
            <w:pPr>
              <w:ind w:left="720"/>
            </w:pPr>
          </w:p>
          <w:p w:rsidR="00C87267" w:rsidRDefault="00C87267" w:rsidP="00C87267">
            <w:pPr>
              <w:numPr>
                <w:ilvl w:val="0"/>
                <w:numId w:val="7"/>
              </w:numPr>
              <w:rPr>
                <w:rFonts w:cs="Arial"/>
              </w:rPr>
            </w:pPr>
            <w:r w:rsidRPr="002332E5">
              <w:rPr>
                <w:rFonts w:cs="Arial"/>
              </w:rPr>
              <w:t xml:space="preserve">Efficient and conscientious </w:t>
            </w:r>
          </w:p>
          <w:p w:rsidR="00C87267" w:rsidRPr="00CA587F" w:rsidRDefault="00C87267" w:rsidP="00C87267">
            <w:pPr>
              <w:ind w:left="720"/>
              <w:rPr>
                <w:rFonts w:cs="Arial"/>
              </w:rPr>
            </w:pPr>
          </w:p>
          <w:p w:rsidR="00C87267" w:rsidRDefault="00C87267" w:rsidP="00C87267">
            <w:pPr>
              <w:numPr>
                <w:ilvl w:val="0"/>
                <w:numId w:val="7"/>
              </w:numPr>
            </w:pPr>
            <w:r w:rsidRPr="002332E5">
              <w:t xml:space="preserve">Strong organisational and time management skills </w:t>
            </w:r>
          </w:p>
          <w:p w:rsidR="00C87267" w:rsidRPr="00D94A53" w:rsidRDefault="00C87267" w:rsidP="00C87267"/>
          <w:p w:rsidR="00C87267" w:rsidRDefault="00C87267" w:rsidP="00C87267">
            <w:pPr>
              <w:numPr>
                <w:ilvl w:val="0"/>
                <w:numId w:val="7"/>
              </w:numPr>
              <w:rPr>
                <w:rFonts w:cs="Arial"/>
              </w:rPr>
            </w:pPr>
            <w:r w:rsidRPr="002332E5">
              <w:rPr>
                <w:rFonts w:cs="Arial"/>
              </w:rPr>
              <w:t>The ability to communicate clearly and effectively</w:t>
            </w:r>
            <w:r>
              <w:rPr>
                <w:rFonts w:cs="Arial"/>
              </w:rPr>
              <w:t xml:space="preserve"> with </w:t>
            </w:r>
            <w:r w:rsidRPr="002332E5">
              <w:rPr>
                <w:rFonts w:cs="Arial"/>
              </w:rPr>
              <w:t xml:space="preserve">a wide range of people </w:t>
            </w:r>
          </w:p>
          <w:p w:rsidR="00C87267" w:rsidRDefault="00C87267" w:rsidP="00C87267">
            <w:pPr>
              <w:pStyle w:val="ListParagraph"/>
              <w:rPr>
                <w:rFonts w:cs="Arial"/>
                <w:bCs/>
              </w:rPr>
            </w:pPr>
          </w:p>
          <w:p w:rsidR="00EF2BA7" w:rsidRPr="00C87267" w:rsidRDefault="00C87267" w:rsidP="00C87267">
            <w:pPr>
              <w:numPr>
                <w:ilvl w:val="0"/>
                <w:numId w:val="7"/>
              </w:numPr>
              <w:rPr>
                <w:rFonts w:cs="Arial"/>
              </w:rPr>
            </w:pPr>
            <w:r w:rsidRPr="00C87267">
              <w:rPr>
                <w:rFonts w:cs="Arial"/>
                <w:bCs/>
              </w:rPr>
              <w:t xml:space="preserve">Strong communication skills </w:t>
            </w:r>
            <w:r w:rsidRPr="00C87267">
              <w:rPr>
                <w:rFonts w:cs="Arial"/>
              </w:rPr>
              <w:t>in English, both written and spoken</w:t>
            </w:r>
          </w:p>
          <w:p w:rsidR="00EF2BA7" w:rsidRDefault="00EF2BA7" w:rsidP="00A14043"/>
        </w:tc>
      </w:tr>
    </w:tbl>
    <w:p w:rsidR="000F0935" w:rsidRDefault="000F0935" w:rsidP="007579B5"/>
    <w:p w:rsidR="000F0935" w:rsidRDefault="000F0935">
      <w:r>
        <w:br w:type="page"/>
      </w:r>
    </w:p>
    <w:tbl>
      <w:tblPr>
        <w:tblStyle w:val="TableGrid"/>
        <w:tblW w:w="9209" w:type="dxa"/>
        <w:tblInd w:w="-5" w:type="dxa"/>
        <w:tblLook w:val="04A0" w:firstRow="1" w:lastRow="0" w:firstColumn="1" w:lastColumn="0" w:noHBand="0" w:noVBand="1"/>
      </w:tblPr>
      <w:tblGrid>
        <w:gridCol w:w="1457"/>
        <w:gridCol w:w="7752"/>
      </w:tblGrid>
      <w:tr w:rsidR="005F30C1" w:rsidTr="00814943">
        <w:tc>
          <w:tcPr>
            <w:tcW w:w="9209" w:type="dxa"/>
            <w:gridSpan w:val="2"/>
            <w:shd w:val="clear" w:color="auto" w:fill="A7E4FF"/>
          </w:tcPr>
          <w:p w:rsidR="005F30C1" w:rsidRDefault="005F30C1" w:rsidP="005F30C1">
            <w:pPr>
              <w:jc w:val="center"/>
              <w:rPr>
                <w:b/>
              </w:rPr>
            </w:pPr>
            <w:r w:rsidRPr="005F30C1">
              <w:rPr>
                <w:b/>
              </w:rPr>
              <w:lastRenderedPageBreak/>
              <w:t>References and Pre-employment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814943">
        <w:tc>
          <w:tcPr>
            <w:tcW w:w="1457" w:type="dxa"/>
            <w:shd w:val="clear" w:color="auto" w:fill="A7E4FF"/>
          </w:tcPr>
          <w:p w:rsidR="005F30C1" w:rsidRDefault="00DB5DD0" w:rsidP="007579B5">
            <w:r>
              <w:t>References</w:t>
            </w:r>
          </w:p>
        </w:tc>
        <w:tc>
          <w:tcPr>
            <w:tcW w:w="7752" w:type="dxa"/>
          </w:tcPr>
          <w:p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rsidR="00DB5DD0" w:rsidRDefault="00DB5DD0" w:rsidP="007579B5"/>
        </w:tc>
      </w:tr>
      <w:tr w:rsidR="005F30C1" w:rsidTr="00814943">
        <w:tc>
          <w:tcPr>
            <w:tcW w:w="1457" w:type="dxa"/>
            <w:shd w:val="clear" w:color="auto" w:fill="A7E4FF"/>
          </w:tcPr>
          <w:p w:rsidR="005F30C1" w:rsidRDefault="000B6351" w:rsidP="007579B5">
            <w:r>
              <w:t xml:space="preserve">Identity, </w:t>
            </w:r>
            <w:r w:rsidR="00256677">
              <w:t>right to work</w:t>
            </w:r>
            <w:r>
              <w:t xml:space="preserve"> and qualifications</w:t>
            </w:r>
          </w:p>
          <w:p w:rsidR="00256677" w:rsidRDefault="00256677" w:rsidP="007579B5"/>
        </w:tc>
        <w:tc>
          <w:tcPr>
            <w:tcW w:w="7752" w:type="dxa"/>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814943">
        <w:tc>
          <w:tcPr>
            <w:tcW w:w="1457" w:type="dxa"/>
            <w:shd w:val="clear" w:color="auto" w:fill="A7E4FF"/>
          </w:tcPr>
          <w:p w:rsidR="005F30C1" w:rsidRDefault="00256677" w:rsidP="007579B5">
            <w:r>
              <w:t>Police checks / DBS</w:t>
            </w:r>
          </w:p>
        </w:tc>
        <w:tc>
          <w:tcPr>
            <w:tcW w:w="7752" w:type="dxa"/>
          </w:tcPr>
          <w:p w:rsidR="005F30C1" w:rsidRDefault="00256677" w:rsidP="000B6351">
            <w:r>
              <w:t xml:space="preserve">Police checks / Disclosure and Barring Service checks will also be undertaken for which employees / prospective employees are required to provide information and consent.  </w:t>
            </w:r>
            <w:r w:rsidR="000B6351">
              <w:t xml:space="preserve">Candidates who have lived and worked abroad in the last five years will be required to seek good conduct references, or the equivalent, from the countries in which they worked, as a </w:t>
            </w:r>
            <w:r w:rsidR="000B6351" w:rsidRPr="0081377A">
              <w:rPr>
                <w:i/>
              </w:rPr>
              <w:t>pre-requisite</w:t>
            </w:r>
            <w:r w:rsidR="000B6351">
              <w:t xml:space="preserve"> of employment.  </w:t>
            </w:r>
          </w:p>
        </w:tc>
      </w:tr>
      <w:tr w:rsidR="005F30C1" w:rsidTr="00814943">
        <w:tc>
          <w:tcPr>
            <w:tcW w:w="1457" w:type="dxa"/>
            <w:shd w:val="clear" w:color="auto" w:fill="A7E4FF"/>
          </w:tcPr>
          <w:p w:rsidR="005F30C1" w:rsidRDefault="00256677" w:rsidP="007579B5">
            <w:r>
              <w:t>Health questionnaire</w:t>
            </w:r>
          </w:p>
        </w:tc>
        <w:tc>
          <w:tcPr>
            <w:tcW w:w="7752" w:type="dxa"/>
          </w:tcPr>
          <w:p w:rsidR="005F30C1" w:rsidRDefault="00256677" w:rsidP="007579B5">
            <w:r>
              <w:t>Satisfactory completion of a health questionnaire</w:t>
            </w:r>
            <w:r w:rsidR="00E12978">
              <w:t>.</w:t>
            </w:r>
          </w:p>
          <w:p w:rsidR="00256677" w:rsidRDefault="00256677" w:rsidP="007579B5"/>
        </w:tc>
      </w:tr>
      <w:tr w:rsidR="005F30C1" w:rsidTr="00814943">
        <w:tc>
          <w:tcPr>
            <w:tcW w:w="1457" w:type="dxa"/>
            <w:shd w:val="clear" w:color="auto" w:fill="A7E4FF"/>
          </w:tcPr>
          <w:p w:rsidR="005F30C1" w:rsidRDefault="00256677" w:rsidP="007579B5">
            <w:r>
              <w:t>Prohibition order checks</w:t>
            </w:r>
          </w:p>
        </w:tc>
        <w:tc>
          <w:tcPr>
            <w:tcW w:w="7752" w:type="dxa"/>
          </w:tcPr>
          <w:p w:rsidR="005F30C1" w:rsidRDefault="00E12978" w:rsidP="007579B5">
            <w:r>
              <w:t xml:space="preserve">Prohibition order checks will be carried out for </w:t>
            </w:r>
            <w:r w:rsidR="0087397A">
              <w:t xml:space="preserve">all </w:t>
            </w:r>
            <w:r>
              <w:t>teaching positions.</w:t>
            </w:r>
          </w:p>
        </w:tc>
      </w:tr>
    </w:tbl>
    <w:p w:rsidR="005F30C1" w:rsidRDefault="005F30C1" w:rsidP="007579B5"/>
    <w:tbl>
      <w:tblPr>
        <w:tblStyle w:val="TableGrid"/>
        <w:tblW w:w="0" w:type="auto"/>
        <w:tblLook w:val="04A0" w:firstRow="1" w:lastRow="0" w:firstColumn="1" w:lastColumn="0" w:noHBand="0" w:noVBand="1"/>
      </w:tblPr>
      <w:tblGrid>
        <w:gridCol w:w="1413"/>
        <w:gridCol w:w="7603"/>
      </w:tblGrid>
      <w:tr w:rsidR="00256677" w:rsidTr="00814943">
        <w:tc>
          <w:tcPr>
            <w:tcW w:w="9016" w:type="dxa"/>
            <w:gridSpan w:val="2"/>
            <w:shd w:val="clear" w:color="auto" w:fill="A7E4FF"/>
          </w:tcPr>
          <w:p w:rsidR="00256677" w:rsidRPr="00256677" w:rsidRDefault="00256677" w:rsidP="00256677">
            <w:pPr>
              <w:jc w:val="center"/>
              <w:rPr>
                <w:b/>
              </w:rPr>
            </w:pPr>
            <w:r w:rsidRPr="00256677">
              <w:rPr>
                <w:b/>
              </w:rPr>
              <w:t>HOW TO APPLY</w:t>
            </w:r>
          </w:p>
        </w:tc>
      </w:tr>
      <w:tr w:rsidR="00256677" w:rsidTr="00814943">
        <w:tc>
          <w:tcPr>
            <w:tcW w:w="1413" w:type="dxa"/>
            <w:shd w:val="clear" w:color="auto" w:fill="A7E4FF"/>
          </w:tcPr>
          <w:p w:rsidR="00256677" w:rsidRDefault="00256677" w:rsidP="007579B5">
            <w:r>
              <w:t>Applications</w:t>
            </w:r>
          </w:p>
        </w:tc>
        <w:tc>
          <w:tcPr>
            <w:tcW w:w="7603" w:type="dxa"/>
          </w:tcPr>
          <w:p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rsidR="000F0935" w:rsidRDefault="000F0935" w:rsidP="000F0935"/>
          <w:p w:rsidR="000F0935" w:rsidRDefault="000F0935" w:rsidP="000F0935">
            <w:r>
              <w:t>CVs will only be accepted if accompanied by a St Clare’s application form.</w:t>
            </w:r>
          </w:p>
        </w:tc>
      </w:tr>
      <w:tr w:rsidR="00256677" w:rsidTr="00814943">
        <w:tc>
          <w:tcPr>
            <w:tcW w:w="1413" w:type="dxa"/>
            <w:shd w:val="clear" w:color="auto" w:fill="A7E4FF"/>
          </w:tcPr>
          <w:p w:rsidR="00256677" w:rsidRDefault="00256677" w:rsidP="007579B5">
            <w:r>
              <w:t>Email</w:t>
            </w:r>
          </w:p>
        </w:tc>
        <w:tc>
          <w:tcPr>
            <w:tcW w:w="7603" w:type="dxa"/>
          </w:tcPr>
          <w:p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rsidR="000F0935" w:rsidRDefault="000F0935" w:rsidP="007579B5"/>
        </w:tc>
      </w:tr>
      <w:tr w:rsidR="00256677" w:rsidTr="00814943">
        <w:tc>
          <w:tcPr>
            <w:tcW w:w="1413" w:type="dxa"/>
            <w:shd w:val="clear" w:color="auto" w:fill="A7E4FF"/>
          </w:tcPr>
          <w:p w:rsidR="00256677" w:rsidRDefault="000F0935" w:rsidP="007579B5">
            <w:r>
              <w:t>Post</w:t>
            </w:r>
          </w:p>
        </w:tc>
        <w:tc>
          <w:tcPr>
            <w:tcW w:w="7603" w:type="dxa"/>
          </w:tcPr>
          <w:p w:rsidR="00256677" w:rsidRDefault="000F0935" w:rsidP="007579B5">
            <w:r>
              <w:t>Alternatively, send to:</w:t>
            </w:r>
          </w:p>
          <w:p w:rsidR="00AC7444" w:rsidRDefault="000F0935" w:rsidP="007579B5">
            <w:r>
              <w:t>Recruitment, HR Department, St Clare’s, O</w:t>
            </w:r>
            <w:r w:rsidR="00AC7444">
              <w:t>xford, 139 Banbury Road, Oxford</w:t>
            </w:r>
          </w:p>
          <w:p w:rsidR="000F0935" w:rsidRDefault="000F0935" w:rsidP="007579B5">
            <w:r>
              <w:t xml:space="preserve"> OX2 7AL</w:t>
            </w:r>
          </w:p>
        </w:tc>
      </w:tr>
      <w:tr w:rsidR="00256677" w:rsidTr="00814943">
        <w:tc>
          <w:tcPr>
            <w:tcW w:w="1413" w:type="dxa"/>
            <w:shd w:val="clear" w:color="auto" w:fill="A7E4FF"/>
          </w:tcPr>
          <w:p w:rsidR="00256677" w:rsidRDefault="000F0935" w:rsidP="007579B5">
            <w:r>
              <w:t>Contact us</w:t>
            </w:r>
          </w:p>
        </w:tc>
        <w:tc>
          <w:tcPr>
            <w:tcW w:w="7603" w:type="dxa"/>
          </w:tcPr>
          <w:p w:rsidR="00F4715B" w:rsidRDefault="00F4715B" w:rsidP="00F4715B">
            <w:r>
              <w:t xml:space="preserve">Email: </w:t>
            </w:r>
            <w:hyperlink r:id="rId12" w:history="1">
              <w:r w:rsidR="000F0935" w:rsidRPr="00F753A1">
                <w:rPr>
                  <w:rStyle w:val="Hyperlink"/>
                </w:rPr>
                <w:t>recruitment@stclares.ac.uk</w:t>
              </w:r>
            </w:hyperlink>
          </w:p>
          <w:p w:rsidR="000F0935" w:rsidRDefault="000F0935" w:rsidP="00F4715B">
            <w:r>
              <w:t xml:space="preserve">Tel: </w:t>
            </w:r>
            <w:r w:rsidR="00F4715B">
              <w:t xml:space="preserve">    </w:t>
            </w:r>
            <w:r>
              <w:t>01865 552031</w:t>
            </w:r>
          </w:p>
        </w:tc>
      </w:tr>
      <w:tr w:rsidR="00256677" w:rsidTr="00814943">
        <w:tc>
          <w:tcPr>
            <w:tcW w:w="1413" w:type="dxa"/>
            <w:shd w:val="clear" w:color="auto" w:fill="A7E4FF"/>
          </w:tcPr>
          <w:p w:rsidR="00256677" w:rsidRDefault="000F0935" w:rsidP="007579B5">
            <w:r>
              <w:t>Deadline for applications</w:t>
            </w:r>
          </w:p>
        </w:tc>
        <w:tc>
          <w:tcPr>
            <w:tcW w:w="7603" w:type="dxa"/>
          </w:tcPr>
          <w:p w:rsidR="00256677" w:rsidRPr="00F904DD" w:rsidRDefault="005501F7" w:rsidP="00450E18">
            <w:pPr>
              <w:rPr>
                <w:rFonts w:ascii="Calibri" w:hAnsi="Calibri"/>
                <w:b/>
              </w:rPr>
            </w:pPr>
            <w:r w:rsidRPr="00F904DD">
              <w:rPr>
                <w:rFonts w:ascii="Calibri" w:hAnsi="Calibri" w:cs="Calibri"/>
                <w:b/>
              </w:rPr>
              <w:t xml:space="preserve">Midday on </w:t>
            </w:r>
            <w:r w:rsidR="00450E18">
              <w:rPr>
                <w:rFonts w:ascii="Calibri" w:hAnsi="Calibri" w:cs="Calibri"/>
                <w:b/>
              </w:rPr>
              <w:t>Monday 27</w:t>
            </w:r>
            <w:r w:rsidR="00AC7444">
              <w:rPr>
                <w:rFonts w:ascii="Calibri" w:hAnsi="Calibri" w:cs="Calibri"/>
                <w:b/>
              </w:rPr>
              <w:t xml:space="preserve"> November </w:t>
            </w:r>
            <w:r w:rsidRPr="00F904DD">
              <w:rPr>
                <w:rFonts w:ascii="Calibri" w:hAnsi="Calibri" w:cs="Arial"/>
                <w:b/>
              </w:rPr>
              <w:t>201</w:t>
            </w:r>
            <w:r w:rsidR="00450E18">
              <w:rPr>
                <w:rFonts w:ascii="Calibri" w:hAnsi="Calibri" w:cs="Arial"/>
                <w:b/>
              </w:rPr>
              <w:t>7</w:t>
            </w:r>
          </w:p>
        </w:tc>
      </w:tr>
      <w:tr w:rsidR="00256677" w:rsidTr="00814943">
        <w:tc>
          <w:tcPr>
            <w:tcW w:w="1413" w:type="dxa"/>
            <w:shd w:val="clear" w:color="auto" w:fill="A7E4FF"/>
          </w:tcPr>
          <w:p w:rsidR="00256677" w:rsidRDefault="000F0935" w:rsidP="007579B5">
            <w:r>
              <w:t>Interviews</w:t>
            </w:r>
          </w:p>
        </w:tc>
        <w:tc>
          <w:tcPr>
            <w:tcW w:w="7603" w:type="dxa"/>
          </w:tcPr>
          <w:p w:rsidR="00F904DD" w:rsidRPr="00D03CA7" w:rsidRDefault="00F904DD" w:rsidP="007579B5">
            <w:pPr>
              <w:rPr>
                <w:rFonts w:ascii="Calibri" w:hAnsi="Calibri" w:cs="Calibri"/>
                <w:i/>
              </w:rPr>
            </w:pPr>
            <w:r w:rsidRPr="00F904DD">
              <w:rPr>
                <w:rFonts w:ascii="Calibri" w:hAnsi="Calibri" w:cs="Arial"/>
                <w:i/>
              </w:rPr>
              <w:t>Interviews w</w:t>
            </w:r>
            <w:r w:rsidR="00450E18">
              <w:rPr>
                <w:rFonts w:ascii="Calibri" w:hAnsi="Calibri" w:cs="Arial"/>
                <w:i/>
              </w:rPr>
              <w:t>ill</w:t>
            </w:r>
            <w:r w:rsidRPr="00F904DD">
              <w:rPr>
                <w:rFonts w:ascii="Calibri" w:hAnsi="Calibri" w:cs="Arial"/>
                <w:i/>
              </w:rPr>
              <w:t xml:space="preserve"> </w:t>
            </w:r>
            <w:r w:rsidR="00AC7444">
              <w:rPr>
                <w:rFonts w:ascii="Calibri" w:hAnsi="Calibri" w:cs="Arial"/>
                <w:i/>
              </w:rPr>
              <w:t>take place on</w:t>
            </w:r>
            <w:r w:rsidR="00450E18">
              <w:rPr>
                <w:rFonts w:ascii="Calibri" w:hAnsi="Calibri" w:cs="Arial"/>
                <w:i/>
              </w:rPr>
              <w:t xml:space="preserve"> 7</w:t>
            </w:r>
            <w:r w:rsidR="00AC7444">
              <w:rPr>
                <w:rFonts w:ascii="Calibri" w:hAnsi="Calibri" w:cs="Arial"/>
                <w:i/>
                <w:vertAlign w:val="superscript"/>
              </w:rPr>
              <w:t xml:space="preserve"> </w:t>
            </w:r>
            <w:proofErr w:type="spellStart"/>
            <w:r w:rsidR="00814943">
              <w:rPr>
                <w:rFonts w:ascii="Calibri" w:hAnsi="Calibri" w:cs="Arial"/>
                <w:i/>
                <w:vertAlign w:val="superscript"/>
              </w:rPr>
              <w:t>th</w:t>
            </w:r>
            <w:proofErr w:type="spellEnd"/>
            <w:r w:rsidR="00814943">
              <w:rPr>
                <w:rFonts w:ascii="Calibri" w:hAnsi="Calibri" w:cs="Arial"/>
                <w:i/>
                <w:vertAlign w:val="superscript"/>
              </w:rPr>
              <w:t xml:space="preserve"> </w:t>
            </w:r>
            <w:r w:rsidR="00814943" w:rsidRPr="00814943">
              <w:rPr>
                <w:rFonts w:ascii="Calibri" w:hAnsi="Calibri"/>
              </w:rPr>
              <w:t xml:space="preserve">&amp; </w:t>
            </w:r>
            <w:r w:rsidR="00450E18">
              <w:rPr>
                <w:rFonts w:ascii="Calibri" w:hAnsi="Calibri" w:cs="Arial"/>
                <w:i/>
              </w:rPr>
              <w:t>8</w:t>
            </w:r>
            <w:r w:rsidR="00814943">
              <w:rPr>
                <w:rFonts w:ascii="Calibri" w:hAnsi="Calibri" w:cs="Arial"/>
                <w:i/>
              </w:rPr>
              <w:t>th</w:t>
            </w:r>
            <w:r w:rsidR="00AC7444">
              <w:rPr>
                <w:rFonts w:ascii="Calibri" w:hAnsi="Calibri" w:cs="Arial"/>
                <w:i/>
              </w:rPr>
              <w:t xml:space="preserve"> December</w:t>
            </w:r>
            <w:r w:rsidRPr="00F904DD">
              <w:rPr>
                <w:rFonts w:ascii="Calibri" w:hAnsi="Calibri" w:cs="Arial"/>
                <w:i/>
              </w:rPr>
              <w:t xml:space="preserve"> 201</w:t>
            </w:r>
            <w:r w:rsidR="00450E18">
              <w:rPr>
                <w:rFonts w:ascii="Calibri" w:hAnsi="Calibri" w:cs="Calibri"/>
                <w:i/>
              </w:rPr>
              <w:t>7</w:t>
            </w:r>
          </w:p>
          <w:p w:rsidR="000F0935" w:rsidRPr="00F904DD" w:rsidRDefault="000F0935" w:rsidP="007579B5">
            <w:pPr>
              <w:rPr>
                <w:rFonts w:ascii="Calibri" w:hAnsi="Calibri"/>
              </w:rPr>
            </w:pPr>
            <w:r w:rsidRPr="00F904DD">
              <w:rPr>
                <w:rFonts w:ascii="Calibri" w:hAnsi="Calibri"/>
              </w:rPr>
              <w:t>The interview process will include some testing of key attributes.</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43" w:rsidRDefault="001B3743" w:rsidP="006A7F66">
      <w:pPr>
        <w:spacing w:after="0" w:line="240" w:lineRule="auto"/>
      </w:pPr>
      <w:r>
        <w:separator/>
      </w:r>
    </w:p>
  </w:endnote>
  <w:endnote w:type="continuationSeparator" w:id="0">
    <w:p w:rsidR="001B3743" w:rsidRDefault="001B3743"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581674">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43" w:rsidRDefault="001B3743" w:rsidP="006A7F66">
      <w:pPr>
        <w:spacing w:after="0" w:line="240" w:lineRule="auto"/>
      </w:pPr>
      <w:r>
        <w:separator/>
      </w:r>
    </w:p>
  </w:footnote>
  <w:footnote w:type="continuationSeparator" w:id="0">
    <w:p w:rsidR="001B3743" w:rsidRDefault="001B3743"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CCA"/>
    <w:multiLevelType w:val="hybridMultilevel"/>
    <w:tmpl w:val="EFDED772"/>
    <w:lvl w:ilvl="0" w:tplc="C812FA3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51B75"/>
    <w:multiLevelType w:val="hybridMultilevel"/>
    <w:tmpl w:val="0BB2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0AB8"/>
    <w:multiLevelType w:val="hybridMultilevel"/>
    <w:tmpl w:val="DD081B4A"/>
    <w:lvl w:ilvl="0" w:tplc="01A453DE">
      <w:start w:val="1"/>
      <w:numFmt w:val="bullet"/>
      <w:lvlText w:val=""/>
      <w:lvlJc w:val="left"/>
      <w:pPr>
        <w:ind w:left="851" w:hanging="284"/>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40886D29"/>
    <w:multiLevelType w:val="hybridMultilevel"/>
    <w:tmpl w:val="5B4E179E"/>
    <w:lvl w:ilvl="0" w:tplc="83B062E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B31E3F"/>
    <w:multiLevelType w:val="hybridMultilevel"/>
    <w:tmpl w:val="2456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674CB"/>
    <w:multiLevelType w:val="hybridMultilevel"/>
    <w:tmpl w:val="BA8C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E7F98"/>
    <w:multiLevelType w:val="hybridMultilevel"/>
    <w:tmpl w:val="D588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24394"/>
    <w:rsid w:val="000A670D"/>
    <w:rsid w:val="000B6351"/>
    <w:rsid w:val="000B7881"/>
    <w:rsid w:val="000C5D28"/>
    <w:rsid w:val="000D58CE"/>
    <w:rsid w:val="000F0935"/>
    <w:rsid w:val="00145955"/>
    <w:rsid w:val="00165A7C"/>
    <w:rsid w:val="001B3743"/>
    <w:rsid w:val="00256677"/>
    <w:rsid w:val="00345B6E"/>
    <w:rsid w:val="0039364D"/>
    <w:rsid w:val="003E6810"/>
    <w:rsid w:val="00450E18"/>
    <w:rsid w:val="005501F7"/>
    <w:rsid w:val="00555B43"/>
    <w:rsid w:val="00581674"/>
    <w:rsid w:val="005F30C1"/>
    <w:rsid w:val="00615D2E"/>
    <w:rsid w:val="006A7F66"/>
    <w:rsid w:val="006E521F"/>
    <w:rsid w:val="006E61DD"/>
    <w:rsid w:val="00713504"/>
    <w:rsid w:val="007579B5"/>
    <w:rsid w:val="007856EE"/>
    <w:rsid w:val="00793DE0"/>
    <w:rsid w:val="007A4A43"/>
    <w:rsid w:val="007B6217"/>
    <w:rsid w:val="007C140F"/>
    <w:rsid w:val="0081377A"/>
    <w:rsid w:val="00814943"/>
    <w:rsid w:val="0085041F"/>
    <w:rsid w:val="0087397A"/>
    <w:rsid w:val="00891F4A"/>
    <w:rsid w:val="009C1855"/>
    <w:rsid w:val="009C7BD8"/>
    <w:rsid w:val="009E773F"/>
    <w:rsid w:val="00A54324"/>
    <w:rsid w:val="00AC7444"/>
    <w:rsid w:val="00BA523E"/>
    <w:rsid w:val="00BD6BC3"/>
    <w:rsid w:val="00BF5FD4"/>
    <w:rsid w:val="00C87267"/>
    <w:rsid w:val="00C96D65"/>
    <w:rsid w:val="00CC0D34"/>
    <w:rsid w:val="00D03CA7"/>
    <w:rsid w:val="00D11C9C"/>
    <w:rsid w:val="00D93DF1"/>
    <w:rsid w:val="00DB5DD0"/>
    <w:rsid w:val="00DF25E7"/>
    <w:rsid w:val="00E022D4"/>
    <w:rsid w:val="00E12978"/>
    <w:rsid w:val="00E43736"/>
    <w:rsid w:val="00E76E70"/>
    <w:rsid w:val="00E82193"/>
    <w:rsid w:val="00EC234C"/>
    <w:rsid w:val="00EC7D15"/>
    <w:rsid w:val="00EF2BA7"/>
    <w:rsid w:val="00F4715B"/>
    <w:rsid w:val="00F52443"/>
    <w:rsid w:val="00F904DD"/>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BDEC"/>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E022D4"/>
    <w:pPr>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1ED6-81A8-4AB5-BB92-8EF57C8F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10</cp:revision>
  <cp:lastPrinted>2015-03-04T09:03:00Z</cp:lastPrinted>
  <dcterms:created xsi:type="dcterms:W3CDTF">2017-11-08T14:27:00Z</dcterms:created>
  <dcterms:modified xsi:type="dcterms:W3CDTF">2017-11-10T09:03:00Z</dcterms:modified>
</cp:coreProperties>
</file>